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активных методов обучения на уроках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Б1.В.03.ДВ.02.01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активных методов обучения на уроках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Б1.В.03.ДВ.02.01 «Применение активных методов обучения на уроках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активных методов обучения на уроках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 образовательных потребностей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Б1.В.03.ДВ.02.01 «Применение активных методов обучения на уроках в основной и старшей школе»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ПК-4, ПК-9</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07.486"/>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Применение активных методов обучения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обучения. Понятие об активных методах обучения. Классификация активных методов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технологии, классифи-кация педагогических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учебного процесса в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интенсивных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анализа ситуаций для активного обучения</w:t>
            </w:r>
          </w:p>
          <w:p>
            <w:pPr>
              <w:jc w:val="left"/>
              <w:spacing w:after="0" w:line="240" w:lineRule="auto"/>
              <w:rPr>
                <w:sz w:val="24"/>
                <w:szCs w:val="24"/>
              </w:rPr>
            </w:pPr>
            <w:r>
              <w:rPr>
                <w:rFonts w:ascii="Times New Roman" w:hAnsi="Times New Roman" w:cs="Times New Roman"/>
                <w:color w:val="#000000"/>
                <w:sz w:val="24"/>
                <w:szCs w:val="24"/>
              </w:rPr>
              <w:t> (action learning)</w:t>
            </w:r>
          </w:p>
          <w:p>
            <w:pPr>
              <w:jc w:val="left"/>
              <w:spacing w:after="0" w:line="240" w:lineRule="auto"/>
              <w:rPr>
                <w:sz w:val="24"/>
                <w:szCs w:val="24"/>
              </w:rPr>
            </w:pPr>
            <w:r>
              <w:rPr>
                <w:rFonts w:ascii="Times New Roman" w:hAnsi="Times New Roman" w:cs="Times New Roman"/>
                <w:color w:val="#000000"/>
                <w:sz w:val="24"/>
                <w:szCs w:val="24"/>
              </w:rPr>
              <w:t> Мозговые штурмы (брейнсторминг)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Эвристические техники интенсивного генерирования идей на уроках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Характеристики и эффективность игровых интерактивных технологий в процессе обучения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активного обучения в основной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интерактивного обучения на учебных занятиях в старщей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методах обучения. Активные методы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технология обучения в процессе обучения русскому языку в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Технологический подход и специфика его реализации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Игровые имитационные технологии на уроках русского языка в основной и старшей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анализа конкретных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анализа конкретных ситуаций («case-study» или в русской транскрипции «кейс-</w:t>
            </w:r>
          </w:p>
          <w:p>
            <w:pPr>
              <w:jc w:val="left"/>
              <w:spacing w:after="0" w:line="240" w:lineRule="auto"/>
              <w:rPr>
                <w:sz w:val="24"/>
                <w:szCs w:val="24"/>
              </w:rPr>
            </w:pPr>
            <w:r>
              <w:rPr>
                <w:rFonts w:ascii="Times New Roman" w:hAnsi="Times New Roman" w:cs="Times New Roman"/>
                <w:color w:val="#000000"/>
                <w:sz w:val="24"/>
                <w:szCs w:val="24"/>
              </w:rPr>
              <w:t> метод»)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Дидактическая игра как технология активного обучения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учебного процесса в средней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Мозговой штурм «брейнсторминг»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67.45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обучения. Понятие об активных методах обучения. Классификация активных методов обучения</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технологии, классифи-кация педагогических технологий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Активизация учебного процесса в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интенсивных технологий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анализа ситуаций для активного обучения</w:t>
            </w:r>
          </w:p>
          <w:p>
            <w:pPr>
              <w:jc w:val="center"/>
              <w:spacing w:after="0" w:line="240" w:lineRule="auto"/>
              <w:rPr>
                <w:sz w:val="24"/>
                <w:szCs w:val="24"/>
              </w:rPr>
            </w:pPr>
            <w:r>
              <w:rPr>
                <w:rFonts w:ascii="Times New Roman" w:hAnsi="Times New Roman" w:cs="Times New Roman"/>
                <w:b/>
                <w:color w:val="#000000"/>
                <w:sz w:val="24"/>
                <w:szCs w:val="24"/>
              </w:rPr>
              <w:t> (action learning)</w:t>
            </w:r>
          </w:p>
          <w:p>
            <w:pPr>
              <w:jc w:val="center"/>
              <w:spacing w:after="0" w:line="240" w:lineRule="auto"/>
              <w:rPr>
                <w:sz w:val="24"/>
                <w:szCs w:val="24"/>
              </w:rPr>
            </w:pPr>
            <w:r>
              <w:rPr>
                <w:rFonts w:ascii="Times New Roman" w:hAnsi="Times New Roman" w:cs="Times New Roman"/>
                <w:b/>
                <w:color w:val="#000000"/>
                <w:sz w:val="24"/>
                <w:szCs w:val="24"/>
              </w:rPr>
              <w:t> Мозговые штурмы (брейнсторминг) по русскому языку.</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Эвристические техники интенсивного генерирования идей на уроках русского языка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Характеристики и эффективность игровых интерактивных технологий в процессе обучения в основной и старшей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активного обучения в основной школе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интерактивного обучения на учебных занятиях в старщей школе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методах обучения. Активные методы обучения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технология обучения в процессе обучения русскому языку в старшей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Технологический подход и специфика его реализации в сфере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Игровые имитационные технологии на уроках русского языка в основной и старшей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анализа конкретных ситуаций</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анализа конкретных ситуаций («case-study» или в русской транскрипции «кейс-</w:t>
            </w:r>
          </w:p>
          <w:p>
            <w:pPr>
              <w:jc w:val="center"/>
              <w:spacing w:after="0" w:line="240" w:lineRule="auto"/>
              <w:rPr>
                <w:sz w:val="24"/>
                <w:szCs w:val="24"/>
              </w:rPr>
            </w:pPr>
            <w:r>
              <w:rPr>
                <w:rFonts w:ascii="Times New Roman" w:hAnsi="Times New Roman" w:cs="Times New Roman"/>
                <w:b/>
                <w:color w:val="#000000"/>
                <w:sz w:val="24"/>
                <w:szCs w:val="24"/>
              </w:rPr>
              <w:t> метод»)</w:t>
            </w:r>
          </w:p>
        </w:tc>
      </w:tr>
      <w:tr>
        <w:trPr>
          <w:trHeight w:hRule="exact" w:val="21.3142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Дидактическая игра как технология активного обучения школьников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Активизация учебного процесса в средней школе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Мозговой штурм «брейнсторминг»</w:t>
            </w:r>
          </w:p>
        </w:tc>
      </w:tr>
      <w:tr>
        <w:trPr>
          <w:trHeight w:hRule="exact" w:val="21.31608"/>
        </w:trPr>
        <w:tc>
          <w:tcPr>
            <w:tcW w:w="9640" w:type="dxa"/>
          </w:tcPr>
          <w:p/>
        </w:tc>
      </w:tr>
      <w:tr>
        <w:trPr>
          <w:trHeight w:hRule="exact" w:val="230.6421"/>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47.187"/>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активных методов обучения на уроках в основной и старшей школе»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https://www.biblio-online.ru/bcode/432878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социально-психологического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Штроо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978-5-534-02451-7.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https://www.biblio-online.ru/bcode/433007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Метапредметное</w:t>
            </w:r>
            <w:r>
              <w:rPr/>
              <w:t xml:space="preserve"> </w:t>
            </w:r>
            <w:r>
              <w:rPr>
                <w:rFonts w:ascii="Times New Roman" w:hAnsi="Times New Roman" w:cs="Times New Roman"/>
                <w:color w:val="#000000"/>
                <w:sz w:val="24"/>
                <w:szCs w:val="24"/>
              </w:rPr>
              <w:t>обучение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978-5-534-12611-2.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https://urait.ru/bcode/448021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Активные</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Зельдович</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Сперанская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978-5-534-11754-7.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https://urait.ru/bcode/457099</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профессионально-ориентированного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Сластенин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Виленский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https://urait.ru/bcode/438216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978-5-534-08189-3.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активного</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Лапыгин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978-5-534-02216-2.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https://www.biblio-online.ru/bcode/433248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328.3975"/>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978-5-534-09829-7.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https://urait.ru/bcode/437502</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455.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359.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2023-2024_ФГОС3++2023_Бак-ОФО-ПО(ИЯ)(23)_plx_Применение активных методов обучения на уроках в основной и старшей школе</dc:title>
  <dc:creator>FastReport.NET</dc:creator>
</cp:coreProperties>
</file>